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Service Channels Worksheet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Use this worksheet to evaluate the customer service channels in your organization.</w:t>
      </w:r>
      <w:r>
        <w:rPr>
          <w:sz w:val="24"/>
          <w:szCs w:val="24"/>
          <w:rtl w:val="0"/>
          <w:lang w:val="en-US"/>
        </w:rPr>
        <w:t xml:space="preserve"> You can add additional channels at the bottom if there are channels your company uses that are not listed.</w:t>
      </w:r>
    </w:p>
    <w:p>
      <w:pPr>
        <w:pStyle w:val="Body"/>
        <w:rPr>
          <w:sz w:val="24"/>
          <w:szCs w:val="24"/>
        </w:rPr>
      </w:pPr>
    </w:p>
    <w:tbl>
      <w:tblPr>
        <w:tblW w:w="1295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1"/>
        <w:gridCol w:w="1851"/>
        <w:gridCol w:w="1851"/>
        <w:gridCol w:w="1851"/>
        <w:gridCol w:w="1851"/>
        <w:gridCol w:w="1851"/>
        <w:gridCol w:w="18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Channel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Owner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Discovery?</w:t>
            </w:r>
          </w:p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Contact?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Response?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Answered?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Consistent?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In-person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Web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Phone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Email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Chat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Video Chat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Text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Mobile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Twitter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Facebook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Mail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Fax</w:t>
            </w:r>
          </w:p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2" w:hanging="2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New Channel Evaluation - </w:t>
      </w:r>
      <w:r>
        <w:rPr>
          <w:sz w:val="24"/>
          <w:szCs w:val="24"/>
          <w:rtl w:val="0"/>
          <w:lang w:val="en-US"/>
        </w:rPr>
        <w:t>New service channels should pass three tests: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There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enough customer demand to invest in this channel.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can serve customers effectively using this channel.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can service customers consistently using this channel.</w:t>
      </w:r>
    </w:p>
    <w:sectPr>
      <w:headerReference w:type="default" r:id="rId4"/>
      <w:footerReference w:type="default" r:id="rId5"/>
      <w:pgSz w:w="15840" w:h="12240" w:orient="landscape"/>
      <w:pgMar w:top="1080" w:right="1440" w:bottom="108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tl w:val="0"/>
        <w:lang w:val="en-US"/>
      </w:rPr>
      <w:t>©</w:t>
    </w:r>
    <w:r>
      <w:rPr>
        <w:rtl w:val="0"/>
        <w:lang w:val="en-US"/>
      </w:rPr>
      <w:t>Toister Performance Solutions,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